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1"/>
        </w:rPr>
      </w:pPr>
      <w:bookmarkStart w:id="0" w:name="_GoBack"/>
      <w:bookmarkEnd w:id="0"/>
      <w:r>
        <w:rPr>
          <w:rFonts w:hint="eastAsia" w:ascii="ＭＳ ゴシック" w:hAnsi="ＭＳ ゴシック" w:eastAsia="ＭＳ ゴシック"/>
          <w:b w:val="1"/>
          <w:sz w:val="21"/>
        </w:rPr>
        <w:t>南箕輪村農業委員会「農地等の利用の最適化の推進に関する指針」</w:t>
      </w:r>
    </w:p>
    <w:p>
      <w:pPr>
        <w:pStyle w:val="0"/>
        <w:jc w:val="right"/>
        <w:rPr>
          <w:rFonts w:hint="eastAsia" w:ascii="ＭＳ ゴシック" w:hAnsi="ＭＳ ゴシック" w:eastAsia="ＭＳ ゴシック"/>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平成</w:t>
      </w:r>
      <w:r>
        <w:rPr>
          <w:rFonts w:hint="eastAsia" w:ascii="ＭＳ ゴシック" w:hAnsi="ＭＳ ゴシック" w:eastAsia="ＭＳ ゴシック"/>
          <w:sz w:val="21"/>
        </w:rPr>
        <w:t>30</w:t>
      </w:r>
      <w:r>
        <w:rPr>
          <w:rFonts w:hint="eastAsia" w:ascii="ＭＳ ゴシック" w:hAnsi="ＭＳ ゴシック" w:eastAsia="ＭＳ ゴシック"/>
          <w:sz w:val="21"/>
        </w:rPr>
        <w:t>年５月２日</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改正　令和３年８月５日</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改正　令和５年３月７日</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改正　令和７年９月５日</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南箕輪村農業委員会</w:t>
      </w:r>
    </w:p>
    <w:p>
      <w:pPr>
        <w:pStyle w:val="0"/>
        <w:ind w:right="840"/>
        <w:rPr>
          <w:rFonts w:hint="eastAsia" w:ascii="ＭＳ ゴシック" w:hAnsi="ＭＳ ゴシック" w:eastAsia="ＭＳ ゴシック"/>
          <w:b w:val="1"/>
          <w:sz w:val="21"/>
        </w:rPr>
      </w:pPr>
      <w:r>
        <w:rPr>
          <w:rFonts w:hint="eastAsia" w:ascii="ＭＳ ゴシック" w:hAnsi="ＭＳ ゴシック" w:eastAsia="ＭＳ ゴシック"/>
          <w:b w:val="1"/>
          <w:sz w:val="21"/>
        </w:rPr>
        <w:t>第１　基本的な考え方</w:t>
      </w:r>
    </w:p>
    <w:p>
      <w:pPr>
        <w:pStyle w:val="0"/>
        <w:ind w:left="210" w:right="-1"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　　農業委員会等に関する法律（昭和</w:t>
      </w:r>
      <w:r>
        <w:rPr>
          <w:rFonts w:hint="eastAsia" w:ascii="ＭＳ ゴシック" w:hAnsi="ＭＳ ゴシック" w:eastAsia="ＭＳ ゴシック"/>
          <w:sz w:val="21"/>
        </w:rPr>
        <w:t>26</w:t>
      </w:r>
      <w:r>
        <w:rPr>
          <w:rFonts w:hint="eastAsia" w:ascii="ＭＳ ゴシック" w:hAnsi="ＭＳ ゴシック" w:eastAsia="ＭＳ ゴシック"/>
          <w:sz w:val="21"/>
        </w:rPr>
        <w:t>年法律第</w:t>
      </w:r>
      <w:r>
        <w:rPr>
          <w:rFonts w:hint="eastAsia" w:ascii="ＭＳ ゴシック" w:hAnsi="ＭＳ ゴシック" w:eastAsia="ＭＳ ゴシック"/>
          <w:sz w:val="21"/>
        </w:rPr>
        <w:t>88</w:t>
      </w:r>
      <w:r>
        <w:rPr>
          <w:rFonts w:hint="eastAsia" w:ascii="ＭＳ ゴシック" w:hAnsi="ＭＳ ゴシック" w:eastAsia="ＭＳ ゴシック"/>
          <w:sz w:val="21"/>
        </w:rPr>
        <w:t>号。以下「法」という。）の改正法が平成</w:t>
      </w:r>
      <w:r>
        <w:rPr>
          <w:rFonts w:hint="eastAsia" w:ascii="ＭＳ ゴシック" w:hAnsi="ＭＳ ゴシック" w:eastAsia="ＭＳ ゴシック"/>
          <w:sz w:val="21"/>
        </w:rPr>
        <w:t>28</w:t>
      </w:r>
      <w:r>
        <w:rPr>
          <w:rFonts w:hint="eastAsia" w:ascii="ＭＳ ゴシック" w:hAnsi="ＭＳ ゴシック" w:eastAsia="ＭＳ ゴシック"/>
          <w:sz w:val="21"/>
        </w:rPr>
        <w:t>年</w:t>
      </w:r>
      <w:r>
        <w:rPr>
          <w:rFonts w:hint="eastAsia" w:ascii="ＭＳ ゴシック" w:hAnsi="ＭＳ ゴシック" w:eastAsia="ＭＳ ゴシック"/>
          <w:sz w:val="21"/>
        </w:rPr>
        <w:t>4</w:t>
      </w:r>
      <w:r>
        <w:rPr>
          <w:rFonts w:hint="eastAsia" w:ascii="ＭＳ ゴシック" w:hAnsi="ＭＳ ゴシック" w:eastAsia="ＭＳ ゴシック"/>
          <w:sz w:val="21"/>
        </w:rPr>
        <w:t>月</w:t>
      </w:r>
      <w:r>
        <w:rPr>
          <w:rFonts w:hint="eastAsia" w:ascii="ＭＳ ゴシック" w:hAnsi="ＭＳ ゴシック" w:eastAsia="ＭＳ ゴシック"/>
          <w:sz w:val="21"/>
        </w:rPr>
        <w:t>1</w:t>
      </w:r>
      <w:r>
        <w:rPr>
          <w:rFonts w:hint="eastAsia" w:ascii="ＭＳ ゴシック" w:hAnsi="ＭＳ ゴシック" w:eastAsia="ＭＳ ゴシック"/>
          <w:sz w:val="21"/>
        </w:rPr>
        <w:t>日に施行され、農業委員会においては「農地等の利用の最適化の推進」が最も重要な必須事務として、明確に位置づけられた。</w:t>
      </w:r>
    </w:p>
    <w:p>
      <w:pPr>
        <w:pStyle w:val="0"/>
        <w:ind w:left="210" w:right="-1"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　　南箕輪村は伊那谷のほぼ中心に位置し、西天竜幹線水路を境として東は水田地域、西は畑作地域が平地に広がる農地で構成されている。両地域とも土地改良事業が実施済みであり、整備された水利施設や肥沃な土壌を活かし、水稲、穀物、野菜、果樹、施設園芸及び酪農業などが行われている。本村においても全国的な流れと同様で、農業従事者の高齢化と担い手不足が進み、遊休農地の増加が懸念されていることから、解消と発生防止に努めていく一方、新たな担い手の掘り起こし・育成と、担い手への農地利用の集積・集約化を図るため、「地域計画」（農業経営基盤強化促進法等の一部を改正する法律案（令和４年法律第</w:t>
      </w:r>
      <w:r>
        <w:rPr>
          <w:rFonts w:hint="eastAsia" w:ascii="ＭＳ ゴシック" w:hAnsi="ＭＳ ゴシック" w:eastAsia="ＭＳ ゴシック"/>
          <w:sz w:val="21"/>
        </w:rPr>
        <w:t>56</w:t>
      </w:r>
      <w:r>
        <w:rPr>
          <w:rFonts w:hint="eastAsia" w:ascii="ＭＳ ゴシック" w:hAnsi="ＭＳ ゴシック" w:eastAsia="ＭＳ ゴシック"/>
          <w:sz w:val="21"/>
        </w:rPr>
        <w:t>号）による改正後の農業経営基盤強化促進法（昭和</w:t>
      </w:r>
      <w:r>
        <w:rPr>
          <w:rFonts w:hint="eastAsia" w:ascii="ＭＳ ゴシック" w:hAnsi="ＭＳ ゴシック" w:eastAsia="ＭＳ ゴシック"/>
          <w:sz w:val="21"/>
        </w:rPr>
        <w:t>55</w:t>
      </w:r>
      <w:r>
        <w:rPr>
          <w:rFonts w:hint="eastAsia" w:ascii="ＭＳ ゴシック" w:hAnsi="ＭＳ ゴシック" w:eastAsia="ＭＳ ゴシック"/>
          <w:sz w:val="21"/>
        </w:rPr>
        <w:t>年法律第</w:t>
      </w:r>
      <w:r>
        <w:rPr>
          <w:rFonts w:hint="eastAsia" w:ascii="ＭＳ ゴシック" w:hAnsi="ＭＳ ゴシック" w:eastAsia="ＭＳ ゴシック"/>
          <w:sz w:val="21"/>
        </w:rPr>
        <w:t>65</w:t>
      </w:r>
      <w:r>
        <w:rPr>
          <w:rFonts w:hint="eastAsia" w:ascii="ＭＳ ゴシック" w:hAnsi="ＭＳ ゴシック" w:eastAsia="ＭＳ ゴシック"/>
          <w:sz w:val="21"/>
        </w:rPr>
        <w:t>号。以下「改正基盤法」という。）第</w:t>
      </w:r>
      <w:r>
        <w:rPr>
          <w:rFonts w:hint="eastAsia" w:ascii="ＭＳ ゴシック" w:hAnsi="ＭＳ ゴシック" w:eastAsia="ＭＳ ゴシック"/>
          <w:sz w:val="21"/>
        </w:rPr>
        <w:t>19</w:t>
      </w:r>
      <w:r>
        <w:rPr>
          <w:rFonts w:hint="eastAsia" w:ascii="ＭＳ ゴシック" w:hAnsi="ＭＳ ゴシック" w:eastAsia="ＭＳ ゴシック"/>
          <w:sz w:val="21"/>
        </w:rPr>
        <w:t>条第１項の規定に基づき、市町村が、農業者等の協議の結果を踏まえ、農業の将来の在り方や農用地の効率的かつ総合的な利用に関する目標として農業を担う者ごとに利用する農用地等を表示した地図などを明確化し、公表したものをいう。）に基づいて農地中間管理事業を活用した利用調整に取り組んでいく必要がある。</w:t>
      </w:r>
    </w:p>
    <w:p>
      <w:pPr>
        <w:pStyle w:val="0"/>
        <w:ind w:left="210" w:leftChars="100" w:right="-1"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以上のような観点から、地域の特色を活かしながら、活力ある農業・農村を築くため、法第７条第１項に基づき、農業委員と農地利用最適化推進委員（以下「推進委員」という。）が連携し、「農地等の利用の最適化」が一体的に進んでいくよう、南箕輪村農業委員会の指針として、具体的な目標と推進方法、目標の達成状況に対する評価方法等を以下のとおり定める。</w:t>
      </w:r>
    </w:p>
    <w:p>
      <w:pPr>
        <w:pStyle w:val="0"/>
        <w:ind w:left="210" w:leftChars="100" w:right="-1"/>
        <w:rPr>
          <w:rFonts w:hint="eastAsia" w:ascii="ＭＳ ゴシック" w:hAnsi="ＭＳ ゴシック" w:eastAsia="ＭＳ ゴシック"/>
          <w:sz w:val="21"/>
        </w:rPr>
      </w:pPr>
      <w:r>
        <w:rPr>
          <w:rFonts w:hint="eastAsia" w:ascii="ＭＳ ゴシック" w:hAnsi="ＭＳ ゴシック" w:eastAsia="ＭＳ ゴシック"/>
          <w:sz w:val="21"/>
        </w:rPr>
        <w:t>　なお、この指針は、改正基盤法第５条第１項に規定する長野県の農業経営基盤の強化の促進に関する基本方針及び「南箕輪村第６次総合計画」の前期基本計画を踏まえた農業委員会の長期的な目標として農地の状況等を示すものであり、農業委員及び推進委員の改選期等、必要に応じて検証・見直しを行う。</w:t>
      </w:r>
    </w:p>
    <w:p>
      <w:pPr>
        <w:pStyle w:val="0"/>
        <w:ind w:left="210" w:leftChars="100" w:right="-1"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また、単年度の具体的な活動については「農業委員会による最適化活動の推進等について」（令和４年２月２日付け３経営第</w:t>
      </w:r>
      <w:r>
        <w:rPr>
          <w:rFonts w:hint="eastAsia" w:ascii="ＭＳ ゴシック" w:hAnsi="ＭＳ ゴシック" w:eastAsia="ＭＳ ゴシック"/>
          <w:sz w:val="21"/>
        </w:rPr>
        <w:t>2584</w:t>
      </w:r>
      <w:r>
        <w:rPr>
          <w:rFonts w:hint="eastAsia" w:ascii="ＭＳ ゴシック" w:hAnsi="ＭＳ ゴシック" w:eastAsia="ＭＳ ゴシック"/>
          <w:sz w:val="21"/>
        </w:rPr>
        <w:t>号農林水産省経営局長通知、令和４年２月</w:t>
      </w:r>
      <w:r>
        <w:rPr>
          <w:rFonts w:hint="eastAsia" w:ascii="ＭＳ ゴシック" w:hAnsi="ＭＳ ゴシック" w:eastAsia="ＭＳ ゴシック"/>
          <w:sz w:val="21"/>
        </w:rPr>
        <w:t>25</w:t>
      </w:r>
      <w:r>
        <w:rPr>
          <w:rFonts w:hint="eastAsia" w:ascii="ＭＳ ゴシック" w:hAnsi="ＭＳ ゴシック" w:eastAsia="ＭＳ ゴシック"/>
          <w:sz w:val="21"/>
        </w:rPr>
        <w:t>日付け３経営第</w:t>
      </w:r>
      <w:r>
        <w:rPr>
          <w:rFonts w:hint="eastAsia" w:ascii="ＭＳ ゴシック" w:hAnsi="ＭＳ ゴシック" w:eastAsia="ＭＳ ゴシック"/>
          <w:sz w:val="21"/>
        </w:rPr>
        <w:t>2816</w:t>
      </w:r>
      <w:r>
        <w:rPr>
          <w:rFonts w:hint="eastAsia" w:ascii="ＭＳ ゴシック" w:hAnsi="ＭＳ ゴシック" w:eastAsia="ＭＳ ゴシック"/>
          <w:sz w:val="21"/>
        </w:rPr>
        <w:t>号農林水産省経営局農地政策課長通知）に基づく「最適化活動の目標の設定等」のとおりとする。</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第２　具体的な目標、推進方法及び評価方法</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１　遊休農地の発生防止・解消について</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（１）遊休農地の解消目標</w:t>
      </w:r>
    </w:p>
    <w:tbl>
      <w:tblPr>
        <w:tblStyle w:val="18"/>
        <w:tblW w:w="8494" w:type="dxa"/>
        <w:tblInd w:w="0" w:type="dxa"/>
        <w:tblLayout w:type="fixed"/>
        <w:tblLook w:firstRow="1" w:lastRow="0" w:firstColumn="1" w:lastColumn="0" w:noHBand="0" w:noVBand="1" w:val="04A0"/>
      </w:tblPr>
      <w:tblGrid>
        <w:gridCol w:w="2146"/>
        <w:gridCol w:w="2114"/>
        <w:gridCol w:w="2115"/>
        <w:gridCol w:w="2119"/>
      </w:tblGrid>
      <w:tr>
        <w:trPr/>
        <w:tc>
          <w:tcPr>
            <w:tcW w:w="2146" w:type="dxa"/>
            <w:vAlign w:val="top"/>
          </w:tcPr>
          <w:p>
            <w:pPr>
              <w:pStyle w:val="0"/>
              <w:ind w:right="-1"/>
              <w:rPr>
                <w:rFonts w:hint="eastAsia" w:ascii="ＭＳ ゴシック" w:hAnsi="ＭＳ ゴシック" w:eastAsia="ＭＳ ゴシック"/>
                <w:sz w:val="21"/>
              </w:rPr>
            </w:pPr>
          </w:p>
        </w:tc>
        <w:tc>
          <w:tcPr>
            <w:tcW w:w="2114"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管内の農地面積</w:t>
            </w:r>
            <w:r>
              <w:rPr>
                <w:rFonts w:hint="eastAsia" w:ascii="ＭＳ ゴシック" w:hAnsi="ＭＳ ゴシック" w:eastAsia="ＭＳ ゴシック"/>
                <w:sz w:val="21"/>
              </w:rPr>
              <w:t>(A</w:t>
            </w:r>
            <w:r>
              <w:rPr>
                <w:rFonts w:hint="eastAsia" w:ascii="ＭＳ ゴシック" w:hAnsi="ＭＳ ゴシック" w:eastAsia="ＭＳ ゴシック"/>
                <w:sz w:val="21"/>
              </w:rPr>
              <w:t>）</w:t>
            </w:r>
          </w:p>
        </w:tc>
        <w:tc>
          <w:tcPr>
            <w:tcW w:w="2115"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遊休農地面積</w:t>
            </w:r>
            <w:r>
              <w:rPr>
                <w:rFonts w:hint="eastAsia" w:ascii="ＭＳ ゴシック" w:hAnsi="ＭＳ ゴシック" w:eastAsia="ＭＳ ゴシック"/>
                <w:sz w:val="21"/>
              </w:rPr>
              <w:t>(B</w:t>
            </w:r>
            <w:r>
              <w:rPr>
                <w:rFonts w:hint="eastAsia" w:ascii="ＭＳ ゴシック" w:hAnsi="ＭＳ ゴシック" w:eastAsia="ＭＳ ゴシック"/>
                <w:sz w:val="21"/>
              </w:rPr>
              <w:t>）</w:t>
            </w:r>
          </w:p>
        </w:tc>
        <w:tc>
          <w:tcPr>
            <w:tcW w:w="2119"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遊休農地の割合</w:t>
            </w:r>
            <w:r>
              <w:rPr>
                <w:rFonts w:hint="eastAsia" w:ascii="ＭＳ ゴシック" w:hAnsi="ＭＳ ゴシック" w:eastAsia="ＭＳ ゴシック"/>
                <w:sz w:val="21"/>
              </w:rPr>
              <w:t>(B/A)</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kern w:val="0"/>
                <w:sz w:val="21"/>
              </w:rPr>
              <w:t>令和６年度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（令和７年３月）</w:t>
            </w:r>
          </w:p>
        </w:tc>
        <w:tc>
          <w:tcPr>
            <w:tcW w:w="2114" w:type="dxa"/>
            <w:vAlign w:val="top"/>
          </w:tcPr>
          <w:p>
            <w:pPr>
              <w:pStyle w:val="0"/>
              <w:ind w:right="-1"/>
              <w:jc w:val="right"/>
              <w:rPr>
                <w:rFonts w:hint="eastAsia" w:ascii="ＭＳ ゴシック" w:hAnsi="ＭＳ ゴシック" w:eastAsia="ＭＳ ゴシック"/>
                <w:sz w:val="21"/>
              </w:rPr>
            </w:pPr>
          </w:p>
          <w:p>
            <w:pPr>
              <w:pStyle w:val="0"/>
              <w:wordWrap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841ha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6.50ha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0.77</w:t>
            </w:r>
            <w:r>
              <w:rPr>
                <w:rFonts w:hint="eastAsia" w:ascii="ＭＳ ゴシック" w:hAnsi="ＭＳ ゴシック" w:eastAsia="ＭＳ ゴシック"/>
                <w:sz w:val="21"/>
              </w:rPr>
              <w:t>％</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令和９年度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w:t>
            </w:r>
            <w:r>
              <w:rPr>
                <w:rFonts w:hint="eastAsia" w:ascii="ＭＳ ゴシック" w:hAnsi="ＭＳ ゴシック" w:eastAsia="ＭＳ ゴシック"/>
                <w:sz w:val="21"/>
              </w:rPr>
              <w:t>10</w:t>
            </w:r>
            <w:r>
              <w:rPr>
                <w:rFonts w:hint="eastAsia" w:ascii="ＭＳ ゴシック" w:hAnsi="ＭＳ ゴシック" w:eastAsia="ＭＳ ゴシック"/>
                <w:sz w:val="21"/>
              </w:rPr>
              <w:t>年３月）</w:t>
            </w:r>
          </w:p>
        </w:tc>
        <w:tc>
          <w:tcPr>
            <w:tcW w:w="2114"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rPr>
              <w:t>836</w:t>
            </w:r>
            <w:r>
              <w:rPr>
                <w:rFonts w:hint="eastAsia" w:ascii="ＭＳ ゴシック" w:hAnsi="ＭＳ ゴシック" w:eastAsia="ＭＳ ゴシック"/>
                <w:sz w:val="21"/>
              </w:rPr>
              <w:t>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6.30ha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rPr>
              <w:t>0.75</w:t>
            </w:r>
            <w:r>
              <w:rPr>
                <w:rFonts w:hint="eastAsia" w:ascii="ＭＳ ゴシック" w:hAnsi="ＭＳ ゴシック" w:eastAsia="ＭＳ ゴシック"/>
                <w:sz w:val="21"/>
              </w:rPr>
              <w:t>％</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kern w:val="0"/>
                <w:sz w:val="21"/>
              </w:rPr>
              <w:t>令和</w:t>
            </w:r>
            <w:r>
              <w:rPr>
                <w:rFonts w:hint="eastAsia" w:ascii="ＭＳ ゴシック" w:hAnsi="ＭＳ ゴシック" w:eastAsia="ＭＳ ゴシック"/>
                <w:kern w:val="0"/>
                <w:sz w:val="21"/>
              </w:rPr>
              <w:t>12</w:t>
            </w:r>
            <w:r>
              <w:rPr>
                <w:rFonts w:hint="eastAsia" w:ascii="ＭＳ ゴシック" w:hAnsi="ＭＳ ゴシック" w:eastAsia="ＭＳ ゴシック"/>
                <w:kern w:val="0"/>
                <w:sz w:val="21"/>
              </w:rPr>
              <w:t>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w:t>
            </w:r>
            <w:r>
              <w:rPr>
                <w:rFonts w:hint="eastAsia" w:ascii="ＭＳ ゴシック" w:hAnsi="ＭＳ ゴシック" w:eastAsia="ＭＳ ゴシック"/>
                <w:sz w:val="21"/>
              </w:rPr>
              <w:t>13</w:t>
            </w:r>
            <w:r>
              <w:rPr>
                <w:rFonts w:hint="eastAsia" w:ascii="ＭＳ ゴシック" w:hAnsi="ＭＳ ゴシック" w:eastAsia="ＭＳ ゴシック"/>
                <w:sz w:val="21"/>
              </w:rPr>
              <w:t>年３月）</w:t>
            </w:r>
          </w:p>
        </w:tc>
        <w:tc>
          <w:tcPr>
            <w:tcW w:w="2114"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831ha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6.15ha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rPr>
              <w:t>0.74</w:t>
            </w:r>
            <w:r>
              <w:rPr>
                <w:rFonts w:hint="eastAsia" w:ascii="ＭＳ ゴシック" w:hAnsi="ＭＳ ゴシック" w:eastAsia="ＭＳ ゴシック"/>
                <w:sz w:val="21"/>
              </w:rPr>
              <w:t>％</w:t>
            </w:r>
          </w:p>
        </w:tc>
      </w:tr>
    </w:tbl>
    <w:p>
      <w:pPr>
        <w:pStyle w:val="0"/>
        <w:ind w:left="180" w:right="-1" w:rightChars="0" w:hanging="180" w:hangingChars="100"/>
        <w:rPr>
          <w:rFonts w:hint="eastAsia" w:ascii="ＭＳ ゴシック" w:hAnsi="ＭＳ ゴシック" w:eastAsia="ＭＳ ゴシック"/>
          <w:sz w:val="21"/>
        </w:rPr>
      </w:pPr>
      <w:r>
        <w:rPr>
          <w:rFonts w:hint="eastAsia" w:ascii="ＭＳ ゴシック" w:hAnsi="ＭＳ ゴシック" w:eastAsia="ＭＳ ゴシック"/>
          <w:sz w:val="18"/>
        </w:rPr>
        <w:t>　※遊休農地の目標値については南箕輪村第６次総合計画の目標値、管内の農地面積については耕地及び作付面積統計における耕地面積を参照</w:t>
      </w:r>
    </w:p>
    <w:p>
      <w:pPr>
        <w:pStyle w:val="0"/>
        <w:ind w:right="-1"/>
        <w:rPr>
          <w:rFonts w:hint="eastAsia" w:ascii="ＭＳ ゴシック" w:hAnsi="ＭＳ ゴシック" w:eastAsia="ＭＳ ゴシック"/>
          <w:b w:val="1"/>
          <w:sz w:val="21"/>
        </w:rPr>
      </w:pPr>
    </w:p>
    <w:p>
      <w:pPr>
        <w:pStyle w:val="0"/>
        <w:ind w:right="-1"/>
        <w:rPr>
          <w:rFonts w:hint="eastAsia" w:ascii="ＭＳ ゴシック" w:hAnsi="ＭＳ ゴシック" w:eastAsia="ＭＳ ゴシック"/>
          <w:b w:val="1"/>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（２）遊休農地の発生防止・解消の具体的な推進方法</w:t>
      </w:r>
    </w:p>
    <w:p>
      <w:pPr>
        <w:pStyle w:val="0"/>
        <w:ind w:right="-1"/>
        <w:rPr>
          <w:rFonts w:hint="eastAsia" w:ascii="ＭＳ ゴシック" w:hAnsi="ＭＳ ゴシック" w:eastAsia="ＭＳ ゴシック"/>
          <w:sz w:val="21"/>
        </w:rPr>
      </w:pPr>
      <w:r>
        <w:rPr>
          <w:rFonts w:hint="eastAsia" w:ascii="ＭＳ ゴシック" w:hAnsi="ＭＳ ゴシック" w:eastAsia="ＭＳ ゴシック"/>
          <w:b w:val="1"/>
          <w:sz w:val="21"/>
        </w:rPr>
        <w:t>　①　農地の利用状況調査と利用意向調査の実施について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○農業委員と推進委員は、農地法（昭和</w:t>
      </w:r>
      <w:r>
        <w:rPr>
          <w:rFonts w:hint="eastAsia" w:ascii="ＭＳ ゴシック" w:hAnsi="ＭＳ ゴシック" w:eastAsia="ＭＳ ゴシック"/>
          <w:sz w:val="21"/>
        </w:rPr>
        <w:t>27</w:t>
      </w:r>
      <w:r>
        <w:rPr>
          <w:rFonts w:hint="eastAsia" w:ascii="ＭＳ ゴシック" w:hAnsi="ＭＳ ゴシック" w:eastAsia="ＭＳ ゴシック"/>
          <w:sz w:val="21"/>
        </w:rPr>
        <w:t>年法律第</w:t>
      </w:r>
      <w:r>
        <w:rPr>
          <w:rFonts w:hint="eastAsia" w:ascii="ＭＳ ゴシック" w:hAnsi="ＭＳ ゴシック" w:eastAsia="ＭＳ ゴシック"/>
          <w:sz w:val="21"/>
        </w:rPr>
        <w:t>229</w:t>
      </w:r>
      <w:r>
        <w:rPr>
          <w:rFonts w:hint="eastAsia" w:ascii="ＭＳ ゴシック" w:hAnsi="ＭＳ ゴシック" w:eastAsia="ＭＳ ゴシック"/>
          <w:sz w:val="21"/>
        </w:rPr>
        <w:t>号）第</w:t>
      </w:r>
      <w:r>
        <w:rPr>
          <w:rFonts w:hint="eastAsia" w:ascii="ＭＳ ゴシック" w:hAnsi="ＭＳ ゴシック" w:eastAsia="ＭＳ ゴシック"/>
          <w:sz w:val="21"/>
        </w:rPr>
        <w:t>30</w:t>
      </w:r>
      <w:r>
        <w:rPr>
          <w:rFonts w:hint="eastAsia" w:ascii="ＭＳ ゴシック" w:hAnsi="ＭＳ ゴシック" w:eastAsia="ＭＳ ゴシック"/>
          <w:sz w:val="21"/>
        </w:rPr>
        <w:t>条第１項の規定による利用状況調査（以下「利用状況調査」という。）と同法第</w:t>
      </w:r>
      <w:r>
        <w:rPr>
          <w:rFonts w:hint="eastAsia" w:ascii="ＭＳ ゴシック" w:hAnsi="ＭＳ ゴシック" w:eastAsia="ＭＳ ゴシック"/>
          <w:sz w:val="21"/>
        </w:rPr>
        <w:t>32</w:t>
      </w:r>
      <w:r>
        <w:rPr>
          <w:rFonts w:hint="eastAsia" w:ascii="ＭＳ ゴシック" w:hAnsi="ＭＳ ゴシック" w:eastAsia="ＭＳ ゴシック"/>
          <w:sz w:val="21"/>
        </w:rPr>
        <w:t>条第１項の規定による利用意向調査（以下「利用意向調査」という。）の実施について、その目的や留意点、調査方法、調査後の流れについて協議・検討を行い、調査の円滑な実施に努める。それぞれの調査時期については、「農地法の運用について」（平成</w:t>
      </w:r>
      <w:r>
        <w:rPr>
          <w:rFonts w:hint="eastAsia" w:ascii="ＭＳ ゴシック" w:hAnsi="ＭＳ ゴシック" w:eastAsia="ＭＳ ゴシック"/>
          <w:sz w:val="21"/>
        </w:rPr>
        <w:t>21</w:t>
      </w:r>
      <w:r>
        <w:rPr>
          <w:rFonts w:hint="eastAsia" w:ascii="ＭＳ ゴシック" w:hAnsi="ＭＳ ゴシック" w:eastAsia="ＭＳ ゴシック"/>
          <w:sz w:val="21"/>
        </w:rPr>
        <w:t>年</w:t>
      </w:r>
      <w:r>
        <w:rPr>
          <w:rFonts w:hint="eastAsia" w:ascii="ＭＳ ゴシック" w:hAnsi="ＭＳ ゴシック" w:eastAsia="ＭＳ ゴシック"/>
          <w:sz w:val="21"/>
        </w:rPr>
        <w:t>12</w:t>
      </w:r>
      <w:r>
        <w:rPr>
          <w:rFonts w:hint="eastAsia" w:ascii="ＭＳ ゴシック" w:hAnsi="ＭＳ ゴシック" w:eastAsia="ＭＳ ゴシック"/>
          <w:sz w:val="21"/>
        </w:rPr>
        <w:t>月</w:t>
      </w:r>
      <w:r>
        <w:rPr>
          <w:rFonts w:hint="eastAsia" w:ascii="ＭＳ ゴシック" w:hAnsi="ＭＳ ゴシック" w:eastAsia="ＭＳ ゴシック"/>
          <w:sz w:val="21"/>
        </w:rPr>
        <w:t>11</w:t>
      </w:r>
      <w:r>
        <w:rPr>
          <w:rFonts w:hint="eastAsia" w:ascii="ＭＳ ゴシック" w:hAnsi="ＭＳ ゴシック" w:eastAsia="ＭＳ ゴシック"/>
          <w:sz w:val="21"/>
        </w:rPr>
        <w:t>日付け</w:t>
      </w:r>
      <w:r>
        <w:rPr>
          <w:rFonts w:hint="eastAsia" w:ascii="ＭＳ ゴシック" w:hAnsi="ＭＳ ゴシック" w:eastAsia="ＭＳ ゴシック"/>
          <w:sz w:val="21"/>
        </w:rPr>
        <w:t>21</w:t>
      </w:r>
      <w:r>
        <w:rPr>
          <w:rFonts w:hint="eastAsia" w:ascii="ＭＳ ゴシック" w:hAnsi="ＭＳ ゴシック" w:eastAsia="ＭＳ ゴシック"/>
          <w:sz w:val="21"/>
        </w:rPr>
        <w:t>経営第</w:t>
      </w:r>
      <w:r>
        <w:rPr>
          <w:rFonts w:hint="eastAsia" w:ascii="ＭＳ ゴシック" w:hAnsi="ＭＳ ゴシック" w:eastAsia="ＭＳ ゴシック"/>
          <w:sz w:val="21"/>
        </w:rPr>
        <w:t>4530</w:t>
      </w:r>
      <w:r>
        <w:rPr>
          <w:rFonts w:hint="eastAsia" w:ascii="ＭＳ ゴシック" w:hAnsi="ＭＳ ゴシック" w:eastAsia="ＭＳ ゴシック"/>
          <w:sz w:val="21"/>
        </w:rPr>
        <w:t>号・</w:t>
      </w:r>
      <w:r>
        <w:rPr>
          <w:rFonts w:hint="eastAsia" w:ascii="ＭＳ ゴシック" w:hAnsi="ＭＳ ゴシック" w:eastAsia="ＭＳ ゴシック"/>
          <w:sz w:val="21"/>
        </w:rPr>
        <w:t>21</w:t>
      </w:r>
      <w:r>
        <w:rPr>
          <w:rFonts w:hint="eastAsia" w:ascii="ＭＳ ゴシック" w:hAnsi="ＭＳ ゴシック" w:eastAsia="ＭＳ ゴシック"/>
          <w:sz w:val="21"/>
        </w:rPr>
        <w:t>農振第</w:t>
      </w:r>
      <w:r>
        <w:rPr>
          <w:rFonts w:hint="eastAsia" w:ascii="ＭＳ ゴシック" w:hAnsi="ＭＳ ゴシック" w:eastAsia="ＭＳ ゴシック"/>
          <w:sz w:val="21"/>
        </w:rPr>
        <w:t>1598</w:t>
      </w:r>
      <w:r>
        <w:rPr>
          <w:rFonts w:hint="eastAsia" w:ascii="ＭＳ ゴシック" w:hAnsi="ＭＳ ゴシック" w:eastAsia="ＭＳ ゴシック"/>
          <w:sz w:val="21"/>
        </w:rPr>
        <w:t>号農林水産省経営局長・農村振興局長連名通知）に基づき実施する。</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○農業委員と推進委員は、日常的に農地の見回り活動を行い、農地状況の把握に努めるとともに、違反転用の発生防止・早期発見等、農地の適正な利用の確認に関する現場活動も併せて実施する。</w:t>
      </w:r>
    </w:p>
    <w:p>
      <w:pPr>
        <w:pStyle w:val="0"/>
        <w:ind w:left="420" w:leftChars="200" w:right="-1" w:rightChars="0" w:firstLine="0" w:firstLineChars="0"/>
        <w:rPr>
          <w:rFonts w:hint="eastAsia" w:ascii="ＭＳ ゴシック" w:hAnsi="ＭＳ ゴシック" w:eastAsia="ＭＳ ゴシック"/>
          <w:sz w:val="21"/>
        </w:rPr>
      </w:pPr>
      <w:r>
        <w:rPr>
          <w:rFonts w:hint="eastAsia" w:ascii="ＭＳ ゴシック" w:hAnsi="ＭＳ ゴシック" w:eastAsia="ＭＳ ゴシック"/>
          <w:sz w:val="21"/>
        </w:rPr>
        <w:t>○利用意向調査の結果を踏まえ、農地法第</w:t>
      </w:r>
      <w:r>
        <w:rPr>
          <w:rFonts w:hint="eastAsia" w:ascii="ＭＳ ゴシック" w:hAnsi="ＭＳ ゴシック" w:eastAsia="ＭＳ ゴシック"/>
          <w:sz w:val="21"/>
        </w:rPr>
        <w:t>34</w:t>
      </w:r>
      <w:r>
        <w:rPr>
          <w:rFonts w:hint="eastAsia" w:ascii="ＭＳ ゴシック" w:hAnsi="ＭＳ ゴシック" w:eastAsia="ＭＳ ゴシック"/>
          <w:sz w:val="21"/>
        </w:rPr>
        <w:t>条に基づく農地の利用関係の調整を行う。</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○利用状況調査と利用意向調査の結果は、「農業委員会サポートシステム」へ反映し、農地台帳の正確な記録の確保と公表の迅速化を図る。</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②　農地中間管理機構との連携について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○利用意向調査の結果を受け、農地所有者等の利用意向に基づいて、農地中間管理機構への貸付けに向けた調整を行う。</w:t>
      </w:r>
    </w:p>
    <w:p>
      <w:pPr>
        <w:pStyle w:val="0"/>
        <w:ind w:left="420" w:right="-1" w:hanging="420" w:hangingChars="200"/>
        <w:rPr>
          <w:rFonts w:hint="eastAsia" w:ascii="ＭＳ ゴシック" w:hAnsi="ＭＳ ゴシック" w:eastAsia="ＭＳ ゴシック"/>
          <w:b w:val="1"/>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③　非農地判断について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○利用状況調査によって、再生利用が困難と区分された農地については、現況に応じて「非農地判断」を行い、守るべき農地を明確化する。</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④　農地相談会の開催</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地相談会を定期的に開催し、管理が困難な農地に関する助言や情報提供を行い、遊休農地の発生防止や解消の推進につなげる。また、相談会を通じて得られた情報を収集・整理し、今後の遊休農地対策の検討材料とする。</w:t>
      </w:r>
    </w:p>
    <w:p>
      <w:pPr>
        <w:pStyle w:val="0"/>
        <w:ind w:right="-1"/>
        <w:rPr>
          <w:rFonts w:hint="eastAsia" w:ascii="ＭＳ ゴシック" w:hAnsi="ＭＳ ゴシック" w:eastAsia="ＭＳ ゴシック"/>
          <w:b w:val="1"/>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（３）遊休農地の発生防止・解消の評価方法</w:t>
      </w:r>
    </w:p>
    <w:p>
      <w:pPr>
        <w:pStyle w:val="0"/>
        <w:ind w:left="211" w:right="-1" w:hanging="211" w:hangingChars="100"/>
        <w:rPr>
          <w:rFonts w:hint="eastAsia" w:ascii="ＭＳ ゴシック" w:hAnsi="ＭＳ ゴシック" w:eastAsia="ＭＳ ゴシック"/>
          <w:sz w:val="21"/>
        </w:rPr>
      </w:pPr>
      <w:r>
        <w:rPr>
          <w:rFonts w:hint="eastAsia" w:ascii="ＭＳ ゴシック" w:hAnsi="ＭＳ ゴシック" w:eastAsia="ＭＳ ゴシック"/>
          <w:b w:val="1"/>
          <w:sz w:val="21"/>
        </w:rPr>
        <w:t>　　</w:t>
      </w:r>
      <w:r>
        <w:rPr>
          <w:rFonts w:hint="eastAsia" w:ascii="ＭＳ ゴシック" w:hAnsi="ＭＳ ゴシック" w:eastAsia="ＭＳ ゴシック"/>
          <w:sz w:val="21"/>
        </w:rPr>
        <w:t>遊休農地の発生防止・解消の進捗状況は、遊休農地の割合により評価する。</w:t>
      </w:r>
    </w:p>
    <w:p>
      <w:pPr>
        <w:pStyle w:val="0"/>
        <w:ind w:left="210" w:leftChars="100" w:right="-1"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単年度の評価については、「農業委員会による最適化活動の推進等について」に基づく「農業委員会の農地利用の最適化の推進の状況その他事務の実施状況の公表」のとおりとする。</w:t>
      </w:r>
    </w:p>
    <w:p>
      <w:pPr>
        <w:pStyle w:val="0"/>
        <w:ind w:right="-1"/>
        <w:rPr>
          <w:rFonts w:hint="eastAsia" w:ascii="ＭＳ ゴシック" w:hAnsi="ＭＳ ゴシック" w:eastAsia="ＭＳ ゴシック"/>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２　担い手への農地利用の集積・集約化について</w:t>
      </w:r>
    </w:p>
    <w:p>
      <w:pPr>
        <w:pStyle w:val="0"/>
        <w:ind w:right="-1"/>
        <w:rPr>
          <w:rFonts w:hint="eastAsia" w:ascii="ＭＳ ゴシック" w:hAnsi="ＭＳ ゴシック" w:eastAsia="ＭＳ ゴシック"/>
          <w:sz w:val="21"/>
        </w:rPr>
      </w:pPr>
      <w:r>
        <w:rPr>
          <w:rFonts w:hint="eastAsia" w:ascii="ＭＳ ゴシック" w:hAnsi="ＭＳ ゴシック" w:eastAsia="ＭＳ ゴシック"/>
          <w:b w:val="1"/>
          <w:sz w:val="21"/>
        </w:rPr>
        <w:t>（１）担い手への農地利用集積目標</w:t>
      </w:r>
    </w:p>
    <w:tbl>
      <w:tblPr>
        <w:tblStyle w:val="18"/>
        <w:tblW w:w="8494" w:type="dxa"/>
        <w:tblInd w:w="0" w:type="dxa"/>
        <w:tblLayout w:type="fixed"/>
        <w:tblLook w:firstRow="1" w:lastRow="0" w:firstColumn="1" w:lastColumn="0" w:noHBand="0" w:noVBand="1" w:val="04A0"/>
      </w:tblPr>
      <w:tblGrid>
        <w:gridCol w:w="2146"/>
        <w:gridCol w:w="2114"/>
        <w:gridCol w:w="2115"/>
        <w:gridCol w:w="2119"/>
      </w:tblGrid>
      <w:tr>
        <w:trPr/>
        <w:tc>
          <w:tcPr>
            <w:tcW w:w="2146" w:type="dxa"/>
            <w:vAlign w:val="top"/>
          </w:tcPr>
          <w:p>
            <w:pPr>
              <w:pStyle w:val="0"/>
              <w:ind w:right="-1"/>
              <w:rPr>
                <w:rFonts w:hint="eastAsia" w:ascii="ＭＳ ゴシック" w:hAnsi="ＭＳ ゴシック" w:eastAsia="ＭＳ ゴシック"/>
                <w:sz w:val="21"/>
              </w:rPr>
            </w:pPr>
          </w:p>
        </w:tc>
        <w:tc>
          <w:tcPr>
            <w:tcW w:w="2114"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管内の農地面積</w:t>
            </w:r>
            <w:r>
              <w:rPr>
                <w:rFonts w:hint="eastAsia" w:ascii="ＭＳ ゴシック" w:hAnsi="ＭＳ ゴシック" w:eastAsia="ＭＳ ゴシック"/>
                <w:sz w:val="21"/>
              </w:rPr>
              <w:t>(A</w:t>
            </w:r>
            <w:r>
              <w:rPr>
                <w:rFonts w:hint="eastAsia" w:ascii="ＭＳ ゴシック" w:hAnsi="ＭＳ ゴシック" w:eastAsia="ＭＳ ゴシック"/>
                <w:sz w:val="21"/>
              </w:rPr>
              <w:t>）</w:t>
            </w:r>
          </w:p>
        </w:tc>
        <w:tc>
          <w:tcPr>
            <w:tcW w:w="2115"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集積面積</w:t>
            </w:r>
            <w:r>
              <w:rPr>
                <w:rFonts w:hint="eastAsia" w:ascii="ＭＳ ゴシック" w:hAnsi="ＭＳ ゴシック" w:eastAsia="ＭＳ ゴシック"/>
                <w:sz w:val="21"/>
              </w:rPr>
              <w:t>(B</w:t>
            </w:r>
            <w:r>
              <w:rPr>
                <w:rFonts w:hint="eastAsia" w:ascii="ＭＳ ゴシック" w:hAnsi="ＭＳ ゴシック" w:eastAsia="ＭＳ ゴシック"/>
                <w:sz w:val="21"/>
              </w:rPr>
              <w:t>）</w:t>
            </w:r>
          </w:p>
        </w:tc>
        <w:tc>
          <w:tcPr>
            <w:tcW w:w="2119"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集積率</w:t>
            </w:r>
            <w:r>
              <w:rPr>
                <w:rFonts w:hint="eastAsia" w:ascii="ＭＳ ゴシック" w:hAnsi="ＭＳ ゴシック" w:eastAsia="ＭＳ ゴシック"/>
                <w:sz w:val="21"/>
              </w:rPr>
              <w:t>(B/A)</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kern w:val="0"/>
                <w:sz w:val="21"/>
              </w:rPr>
              <w:t>令和６年度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（令和７年３月）</w:t>
            </w:r>
          </w:p>
        </w:tc>
        <w:tc>
          <w:tcPr>
            <w:tcW w:w="2114" w:type="dxa"/>
            <w:vAlign w:val="top"/>
          </w:tcPr>
          <w:p>
            <w:pPr>
              <w:pStyle w:val="0"/>
              <w:ind w:right="-1"/>
              <w:jc w:val="right"/>
              <w:rPr>
                <w:rFonts w:hint="eastAsia" w:ascii="ＭＳ ゴシック" w:hAnsi="ＭＳ ゴシック" w:eastAsia="ＭＳ ゴシック"/>
                <w:sz w:val="21"/>
              </w:rPr>
            </w:pPr>
          </w:p>
          <w:p>
            <w:pPr>
              <w:pStyle w:val="0"/>
              <w:wordWrap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841ha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525ha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62.4</w:t>
            </w:r>
            <w:r>
              <w:rPr>
                <w:rFonts w:hint="eastAsia" w:ascii="ＭＳ ゴシック" w:hAnsi="ＭＳ ゴシック" w:eastAsia="ＭＳ ゴシック"/>
                <w:sz w:val="21"/>
              </w:rPr>
              <w:t>％</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令和９年度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w:t>
            </w:r>
            <w:r>
              <w:rPr>
                <w:rFonts w:hint="eastAsia" w:ascii="ＭＳ ゴシック" w:hAnsi="ＭＳ ゴシック" w:eastAsia="ＭＳ ゴシック"/>
                <w:sz w:val="21"/>
              </w:rPr>
              <w:t>10</w:t>
            </w:r>
            <w:r>
              <w:rPr>
                <w:rFonts w:hint="eastAsia" w:ascii="ＭＳ ゴシック" w:hAnsi="ＭＳ ゴシック" w:eastAsia="ＭＳ ゴシック"/>
                <w:sz w:val="21"/>
              </w:rPr>
              <w:t>年３月）</w:t>
            </w:r>
          </w:p>
        </w:tc>
        <w:tc>
          <w:tcPr>
            <w:tcW w:w="2114"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u w:val="none" w:color="auto"/>
              </w:rPr>
              <w:t>836</w:t>
            </w:r>
            <w:r>
              <w:rPr>
                <w:rFonts w:hint="eastAsia" w:ascii="ＭＳ ゴシック" w:hAnsi="ＭＳ ゴシック" w:eastAsia="ＭＳ ゴシック"/>
                <w:sz w:val="21"/>
              </w:rPr>
              <w:t>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u w:val="none" w:color="auto"/>
              </w:rPr>
              <w:t>543</w:t>
            </w:r>
            <w:r>
              <w:rPr>
                <w:rFonts w:hint="eastAsia" w:ascii="ＭＳ ゴシック" w:hAnsi="ＭＳ ゴシック" w:eastAsia="ＭＳ ゴシック"/>
                <w:sz w:val="21"/>
              </w:rPr>
              <w:t>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65.0</w:t>
            </w:r>
            <w:r>
              <w:rPr>
                <w:rFonts w:hint="eastAsia" w:ascii="ＭＳ ゴシック" w:hAnsi="ＭＳ ゴシック" w:eastAsia="ＭＳ ゴシック"/>
                <w:sz w:val="21"/>
              </w:rPr>
              <w:t>％</w:t>
            </w:r>
          </w:p>
        </w:tc>
      </w:tr>
      <w:tr>
        <w:trPr/>
        <w:tc>
          <w:tcPr>
            <w:tcW w:w="2146"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w:t>
            </w:r>
            <w:r>
              <w:rPr>
                <w:rFonts w:hint="eastAsia" w:ascii="ＭＳ ゴシック" w:hAnsi="ＭＳ ゴシック" w:eastAsia="ＭＳ ゴシック"/>
                <w:sz w:val="21"/>
              </w:rPr>
              <w:t>12</w:t>
            </w:r>
            <w:r>
              <w:rPr>
                <w:rFonts w:hint="eastAsia" w:ascii="ＭＳ ゴシック" w:hAnsi="ＭＳ ゴシック" w:eastAsia="ＭＳ ゴシック"/>
                <w:sz w:val="21"/>
              </w:rPr>
              <w:t>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w:t>
            </w:r>
            <w:r>
              <w:rPr>
                <w:rFonts w:hint="eastAsia" w:ascii="ＭＳ ゴシック" w:hAnsi="ＭＳ ゴシック" w:eastAsia="ＭＳ ゴシック"/>
                <w:sz w:val="21"/>
              </w:rPr>
              <w:t>13</w:t>
            </w:r>
            <w:r>
              <w:rPr>
                <w:rFonts w:hint="eastAsia" w:ascii="ＭＳ ゴシック" w:hAnsi="ＭＳ ゴシック" w:eastAsia="ＭＳ ゴシック"/>
                <w:sz w:val="21"/>
              </w:rPr>
              <w:t>年３月）</w:t>
            </w:r>
          </w:p>
        </w:tc>
        <w:tc>
          <w:tcPr>
            <w:tcW w:w="2114"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u w:val="none" w:color="auto"/>
              </w:rPr>
              <w:t>831</w:t>
            </w:r>
            <w:r>
              <w:rPr>
                <w:rFonts w:hint="eastAsia" w:ascii="ＭＳ ゴシック" w:hAnsi="ＭＳ ゴシック" w:eastAsia="ＭＳ ゴシック"/>
                <w:sz w:val="21"/>
              </w:rPr>
              <w:t>ha</w:t>
            </w:r>
          </w:p>
        </w:tc>
        <w:tc>
          <w:tcPr>
            <w:tcW w:w="2115"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color w:val="auto"/>
                <w:sz w:val="21"/>
                <w:u w:val="none" w:color="auto"/>
              </w:rPr>
              <w:t>565</w:t>
            </w:r>
            <w:r>
              <w:rPr>
                <w:rFonts w:hint="eastAsia" w:ascii="ＭＳ ゴシック" w:hAnsi="ＭＳ ゴシック" w:eastAsia="ＭＳ ゴシック"/>
                <w:sz w:val="21"/>
              </w:rPr>
              <w:t>ha</w:t>
            </w:r>
          </w:p>
        </w:tc>
        <w:tc>
          <w:tcPr>
            <w:tcW w:w="2119" w:type="dxa"/>
            <w:vAlign w:val="top"/>
          </w:tcPr>
          <w:p>
            <w:pPr>
              <w:pStyle w:val="0"/>
              <w:ind w:right="-1"/>
              <w:jc w:val="right"/>
              <w:rPr>
                <w:rFonts w:hint="eastAsia" w:ascii="ＭＳ ゴシック" w:hAnsi="ＭＳ ゴシック" w:eastAsia="ＭＳ ゴシック"/>
                <w:sz w:val="21"/>
              </w:rPr>
            </w:pP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68.0</w:t>
            </w:r>
            <w:r>
              <w:rPr>
                <w:rFonts w:hint="eastAsia" w:ascii="ＭＳ ゴシック" w:hAnsi="ＭＳ ゴシック" w:eastAsia="ＭＳ ゴシック"/>
                <w:sz w:val="21"/>
              </w:rPr>
              <w:t>％</w:t>
            </w:r>
          </w:p>
        </w:tc>
      </w:tr>
    </w:tbl>
    <w:p>
      <w:pPr>
        <w:pStyle w:val="0"/>
        <w:ind w:left="180" w:right="-1" w:rightChars="0" w:hanging="180" w:hangingChars="100"/>
        <w:rPr>
          <w:rFonts w:hint="eastAsia" w:ascii="ＭＳ ゴシック" w:hAnsi="ＭＳ ゴシック" w:eastAsia="ＭＳ ゴシック"/>
          <w:sz w:val="21"/>
        </w:rPr>
      </w:pPr>
      <w:r>
        <w:rPr>
          <w:rFonts w:hint="eastAsia" w:ascii="ＭＳ ゴシック" w:hAnsi="ＭＳ ゴシック" w:eastAsia="ＭＳ ゴシック"/>
          <w:sz w:val="18"/>
        </w:rPr>
        <w:t>※集積率の目標値については南箕輪村第６次総合計画の目標値、管内の農地面積については耕地及び作付面積統計における耕地面積を参照</w:t>
      </w:r>
    </w:p>
    <w:p>
      <w:pPr>
        <w:pStyle w:val="0"/>
        <w:ind w:right="-1"/>
        <w:rPr>
          <w:rFonts w:hint="eastAsia" w:ascii="ＭＳ ゴシック" w:hAnsi="ＭＳ ゴシック" w:eastAsia="ＭＳ ゴシック"/>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（２）担い手への農地利用の集積・集約化に向けた具体的な推進方法</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　①　「地域計画」の実現に向けた農地利用の最適化活動</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○農業委員と推進委員は、村や関係機関と役割分担しながら、「地域計画」の実現に向けた取組みを実施する。</w:t>
      </w:r>
    </w:p>
    <w:p>
      <w:pPr>
        <w:pStyle w:val="0"/>
        <w:ind w:left="630" w:right="-1" w:hanging="630" w:hangingChars="300"/>
        <w:rPr>
          <w:rFonts w:hint="eastAsia" w:ascii="ＭＳ ゴシック" w:hAnsi="ＭＳ ゴシック" w:eastAsia="ＭＳ ゴシック"/>
          <w:b w:val="1"/>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②　農地の利用調整について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○農地中間管理機構を通じた貸し借りを推進し、「地域計画」に沿った権利設定に取組む。</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③　関係機関との連携について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農業委員会は、村、農地中間管理機構、農協、その他関係機関等と連携し、（ア）農地中間管理機構に貸付けを希望する復元可能な遊休農地、（イ）高齢化・後継者不在により農業経営が困難となった者が所有する農地、（ウ）利用権の設定期間が満了する農地等についてリスト化を行い、「地域計画」に沿った農地の受け手に利用調整を行う。</w:t>
      </w:r>
    </w:p>
    <w:p>
      <w:pPr>
        <w:pStyle w:val="0"/>
        <w:ind w:left="0" w:leftChars="0" w:right="-1" w:rightChars="0" w:firstLine="0" w:firstLineChars="0"/>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b w:val="1"/>
          <w:sz w:val="21"/>
        </w:rPr>
        <w:t>④　農地の所有者等を確知することができない農地の取扱い</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〇農地の所有者等を確知することができない農地については、所有者不明農地制度を活用し、公示手続を経て農地中間管理機構による利用権設定ができる制度を活用し、農地の利活用に努める。</w:t>
      </w:r>
    </w:p>
    <w:p>
      <w:pPr>
        <w:pStyle w:val="0"/>
        <w:ind w:right="-1"/>
        <w:rPr>
          <w:rFonts w:hint="eastAsia" w:ascii="ＭＳ ゴシック" w:hAnsi="ＭＳ ゴシック" w:eastAsia="ＭＳ ゴシック"/>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（３）担い手への農地利用の集積・集約化の評価方法</w:t>
      </w:r>
    </w:p>
    <w:p>
      <w:pPr>
        <w:pStyle w:val="0"/>
        <w:ind w:left="211" w:right="-1" w:hanging="211" w:hangingChars="100"/>
        <w:rPr>
          <w:rFonts w:hint="eastAsia" w:ascii="ＭＳ ゴシック" w:hAnsi="ＭＳ ゴシック" w:eastAsia="ＭＳ ゴシック"/>
          <w:sz w:val="21"/>
        </w:rPr>
      </w:pPr>
      <w:r>
        <w:rPr>
          <w:rFonts w:hint="eastAsia" w:ascii="ＭＳ ゴシック" w:hAnsi="ＭＳ ゴシック" w:eastAsia="ＭＳ ゴシック"/>
          <w:b w:val="1"/>
          <w:sz w:val="21"/>
        </w:rPr>
        <w:t>　</w:t>
      </w:r>
      <w:r>
        <w:rPr>
          <w:rFonts w:hint="eastAsia" w:ascii="ＭＳ ゴシック" w:hAnsi="ＭＳ ゴシック" w:eastAsia="ＭＳ ゴシック"/>
          <w:sz w:val="21"/>
        </w:rPr>
        <w:t>　担い手への農地利用の集積・集約化の進捗状況は、農地の集積率により評価する。</w:t>
      </w:r>
    </w:p>
    <w:p>
      <w:pPr>
        <w:pStyle w:val="0"/>
        <w:ind w:left="210" w:leftChars="100" w:right="-1"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単年度の評価については、「農業委員会による最適化活動の推進等について」に基づく「農業委員会の農地利用の最適化の推進の状況その他事務の実施状況の公表」のとおりとする。</w:t>
      </w:r>
    </w:p>
    <w:p>
      <w:pPr>
        <w:pStyle w:val="0"/>
        <w:ind w:right="-1"/>
        <w:rPr>
          <w:rFonts w:hint="eastAsia" w:ascii="ＭＳ ゴシック" w:hAnsi="ＭＳ ゴシック" w:eastAsia="ＭＳ ゴシック"/>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３　新規参入の促進について</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（１）新規参入の促進目標</w:t>
      </w:r>
    </w:p>
    <w:tbl>
      <w:tblPr>
        <w:tblStyle w:val="18"/>
        <w:tblW w:w="6695" w:type="dxa"/>
        <w:tblInd w:w="-5" w:type="dxa"/>
        <w:tblLayout w:type="fixed"/>
        <w:tblLook w:firstRow="1" w:lastRow="0" w:firstColumn="1" w:lastColumn="0" w:noHBand="0" w:noVBand="1" w:val="04A0"/>
      </w:tblPr>
      <w:tblGrid>
        <w:gridCol w:w="2622"/>
        <w:gridCol w:w="4073"/>
      </w:tblGrid>
      <w:tr>
        <w:trPr/>
        <w:tc>
          <w:tcPr>
            <w:tcW w:w="2622" w:type="dxa"/>
            <w:vAlign w:val="top"/>
          </w:tcPr>
          <w:p>
            <w:pPr>
              <w:pStyle w:val="0"/>
              <w:ind w:right="-1"/>
              <w:rPr>
                <w:rFonts w:hint="eastAsia" w:ascii="ＭＳ ゴシック" w:hAnsi="ＭＳ ゴシック" w:eastAsia="ＭＳ ゴシック"/>
                <w:sz w:val="21"/>
              </w:rPr>
            </w:pPr>
          </w:p>
        </w:tc>
        <w:tc>
          <w:tcPr>
            <w:tcW w:w="4073"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新規参入者（個人・法人）</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（新規参入者取得、貸借農地面積）</w:t>
            </w:r>
          </w:p>
        </w:tc>
      </w:tr>
      <w:tr>
        <w:trPr/>
        <w:tc>
          <w:tcPr>
            <w:tcW w:w="2622" w:type="dxa"/>
            <w:vAlign w:val="top"/>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令和６年度</w:t>
            </w:r>
          </w:p>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新規参入数</w:t>
            </w:r>
          </w:p>
        </w:tc>
        <w:tc>
          <w:tcPr>
            <w:tcW w:w="4073" w:type="dxa"/>
            <w:vAlign w:val="top"/>
          </w:tcPr>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3</w:t>
            </w:r>
            <w:r>
              <w:rPr>
                <w:rFonts w:hint="eastAsia" w:ascii="ＭＳ ゴシック" w:hAnsi="ＭＳ ゴシック" w:eastAsia="ＭＳ ゴシック"/>
                <w:sz w:val="21"/>
              </w:rPr>
              <w:t>　経営体</w:t>
            </w:r>
          </w:p>
          <w:p>
            <w:pPr>
              <w:pStyle w:val="0"/>
              <w:wordWrap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1.2ha</w:t>
            </w:r>
            <w:r>
              <w:rPr>
                <w:rFonts w:hint="eastAsia" w:ascii="ＭＳ ゴシック" w:hAnsi="ＭＳ ゴシック" w:eastAsia="ＭＳ ゴシック"/>
                <w:sz w:val="21"/>
              </w:rPr>
              <w:t>）</w:t>
            </w:r>
          </w:p>
        </w:tc>
      </w:tr>
      <w:tr>
        <w:trPr/>
        <w:tc>
          <w:tcPr>
            <w:tcW w:w="2622" w:type="dxa"/>
            <w:vAlign w:val="center"/>
          </w:tcPr>
          <w:p>
            <w:pPr>
              <w:pStyle w:val="0"/>
              <w:ind w:right="-1"/>
              <w:jc w:val="center"/>
              <w:rPr>
                <w:rFonts w:hint="eastAsia" w:ascii="ＭＳ ゴシック" w:hAnsi="ＭＳ ゴシック" w:eastAsia="ＭＳ ゴシック"/>
                <w:sz w:val="21"/>
              </w:rPr>
            </w:pPr>
            <w:r>
              <w:rPr>
                <w:rFonts w:hint="eastAsia" w:ascii="ＭＳ ゴシック" w:hAnsi="ＭＳ ゴシック" w:eastAsia="ＭＳ ゴシック"/>
                <w:sz w:val="21"/>
              </w:rPr>
              <w:t>毎年の目標</w:t>
            </w:r>
          </w:p>
        </w:tc>
        <w:tc>
          <w:tcPr>
            <w:tcW w:w="4073" w:type="dxa"/>
            <w:vAlign w:val="top"/>
          </w:tcPr>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2</w:t>
            </w:r>
            <w:r>
              <w:rPr>
                <w:rFonts w:hint="eastAsia" w:ascii="ＭＳ ゴシック" w:hAnsi="ＭＳ ゴシック" w:eastAsia="ＭＳ ゴシック"/>
                <w:sz w:val="21"/>
              </w:rPr>
              <w:t>　経営体</w:t>
            </w:r>
          </w:p>
          <w:p>
            <w:pPr>
              <w:pStyle w:val="0"/>
              <w:ind w:right="-1"/>
              <w:jc w:val="right"/>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1.0ha</w:t>
            </w:r>
            <w:r>
              <w:rPr>
                <w:rFonts w:hint="eastAsia" w:ascii="ＭＳ ゴシック" w:hAnsi="ＭＳ ゴシック" w:eastAsia="ＭＳ ゴシック"/>
                <w:sz w:val="21"/>
              </w:rPr>
              <w:t>）</w:t>
            </w:r>
          </w:p>
        </w:tc>
      </w:tr>
    </w:tbl>
    <w:p>
      <w:pPr>
        <w:pStyle w:val="0"/>
        <w:ind w:right="-1"/>
        <w:rPr>
          <w:rFonts w:hint="eastAsia" w:ascii="ＭＳ ゴシック" w:hAnsi="ＭＳ ゴシック" w:eastAsia="ＭＳ ゴシック"/>
          <w:sz w:val="21"/>
        </w:rPr>
      </w:pP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（２）新規参入の促進に向けた具体的な推進方法</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　①　関係機関との連携・新規参入者への支援について</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県農業農村支援センター、農地中間管理機構、農協、村、その他関係機関等と連携し、管内農地の借り入れ意向がある新規参入者の情報を収集し、必要により農地のあっせんや指導的農業者の紹介などの支援を行う。</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○専業・兼業のどちらでも、農業に意欲を持つ若者や元気な高齢者、定年帰農者などの参画を促すなど、多様な新規参入者の発掘、育成、支援を推進する。</w:t>
      </w:r>
    </w:p>
    <w:p>
      <w:pPr>
        <w:pStyle w:val="0"/>
        <w:ind w:right="-1" w:firstLine="211" w:firstLineChars="100"/>
        <w:rPr>
          <w:rFonts w:hint="eastAsia" w:ascii="ＭＳ ゴシック" w:hAnsi="ＭＳ ゴシック" w:eastAsia="ＭＳ ゴシック"/>
          <w:b w:val="1"/>
          <w:sz w:val="21"/>
        </w:rPr>
      </w:pPr>
      <w:r>
        <w:rPr>
          <w:rFonts w:hint="eastAsia" w:ascii="ＭＳ ゴシック" w:hAnsi="ＭＳ ゴシック" w:eastAsia="ＭＳ ゴシック"/>
          <w:b w:val="1"/>
          <w:sz w:val="21"/>
        </w:rPr>
        <w:t>②　新規参入相談会の開催</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○新規参入相談会を定期的に開催し、新規参入者の受け入れとフォローアップ体制を整える。</w:t>
      </w:r>
    </w:p>
    <w:p>
      <w:pPr>
        <w:pStyle w:val="0"/>
        <w:ind w:left="420" w:right="-1" w:hanging="420" w:hangingChars="200"/>
        <w:rPr>
          <w:rFonts w:hint="eastAsia" w:ascii="ＭＳ ゴシック" w:hAnsi="ＭＳ ゴシック" w:eastAsia="ＭＳ ゴシック"/>
          <w:sz w:val="21"/>
        </w:rPr>
      </w:pPr>
      <w:r>
        <w:rPr>
          <w:rFonts w:hint="eastAsia" w:ascii="ＭＳ ゴシック" w:hAnsi="ＭＳ ゴシック" w:eastAsia="ＭＳ ゴシック"/>
          <w:sz w:val="21"/>
        </w:rPr>
        <w:t>　</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（３）新規参入の促進の評価方法</w:t>
      </w:r>
    </w:p>
    <w:p>
      <w:pPr>
        <w:pStyle w:val="0"/>
        <w:ind w:right="-1"/>
        <w:rPr>
          <w:rFonts w:hint="eastAsia" w:ascii="ＭＳ ゴシック" w:hAnsi="ＭＳ ゴシック" w:eastAsia="ＭＳ ゴシック"/>
          <w:sz w:val="21"/>
        </w:rPr>
      </w:pPr>
      <w:r>
        <w:rPr>
          <w:rFonts w:hint="eastAsia" w:ascii="ＭＳ ゴシック" w:hAnsi="ＭＳ ゴシック" w:eastAsia="ＭＳ ゴシック"/>
          <w:b w:val="1"/>
          <w:sz w:val="21"/>
        </w:rPr>
        <w:t>　　</w:t>
      </w:r>
      <w:r>
        <w:rPr>
          <w:rFonts w:hint="eastAsia" w:ascii="ＭＳ ゴシック" w:hAnsi="ＭＳ ゴシック" w:eastAsia="ＭＳ ゴシック"/>
          <w:sz w:val="21"/>
        </w:rPr>
        <w:t>新規参入の促進の進捗状況は、新規参入者（個人、法人）の数により評価する。</w:t>
      </w:r>
    </w:p>
    <w:p>
      <w:pPr>
        <w:pStyle w:val="0"/>
        <w:ind w:left="210" w:leftChars="100" w:right="-1" w:firstLine="210" w:firstLineChars="100"/>
        <w:rPr>
          <w:rFonts w:hint="eastAsia" w:ascii="ＭＳ ゴシック" w:hAnsi="ＭＳ ゴシック" w:eastAsia="ＭＳ ゴシック"/>
          <w:sz w:val="21"/>
        </w:rPr>
      </w:pPr>
      <w:r>
        <w:rPr>
          <w:rFonts w:hint="eastAsia" w:ascii="ＭＳ ゴシック" w:hAnsi="ＭＳ ゴシック" w:eastAsia="ＭＳ ゴシック"/>
          <w:sz w:val="21"/>
        </w:rPr>
        <w:t>単年度の評価については、「農業委員会による最適化活動の推進等について」に基づく「農業委員会の農地利用の最適化の推進の状況その他事務の実施状況の公表」のとおりとする。</w:t>
      </w:r>
    </w:p>
    <w:p>
      <w:pPr>
        <w:pStyle w:val="0"/>
        <w:ind w:right="-1"/>
        <w:rPr>
          <w:rFonts w:hint="eastAsia" w:ascii="ＭＳ ゴシック" w:hAnsi="ＭＳ ゴシック" w:eastAsia="ＭＳ ゴシック"/>
          <w:b w:val="1"/>
          <w:sz w:val="21"/>
        </w:rPr>
      </w:pPr>
      <w:r>
        <w:rPr>
          <w:rFonts w:hint="eastAsia" w:ascii="ＭＳ ゴシック" w:hAnsi="ＭＳ ゴシック" w:eastAsia="ＭＳ ゴシック"/>
          <w:b w:val="1"/>
          <w:sz w:val="21"/>
        </w:rPr>
        <w:t>第３　「地域計画」の目標を達成するための役割</w:t>
      </w:r>
    </w:p>
    <w:p>
      <w:pPr>
        <w:pStyle w:val="0"/>
        <w:ind w:left="211" w:right="-1" w:hanging="211" w:hangingChars="100"/>
        <w:rPr>
          <w:rFonts w:hint="eastAsia" w:ascii="ＭＳ ゴシック" w:hAnsi="ＭＳ ゴシック" w:eastAsia="ＭＳ ゴシック"/>
          <w:sz w:val="21"/>
        </w:rPr>
      </w:pPr>
      <w:r>
        <w:rPr>
          <w:rFonts w:hint="eastAsia" w:ascii="ＭＳ ゴシック" w:hAnsi="ＭＳ ゴシック" w:eastAsia="ＭＳ ゴシック"/>
          <w:b w:val="1"/>
          <w:sz w:val="21"/>
        </w:rPr>
        <w:t>　　</w:t>
      </w:r>
      <w:r>
        <w:rPr>
          <w:rFonts w:hint="eastAsia" w:ascii="ＭＳ ゴシック" w:hAnsi="ＭＳ ゴシック" w:eastAsia="ＭＳ ゴシック"/>
          <w:sz w:val="21"/>
        </w:rPr>
        <w:t>南箕輪村において作成された「地域計画」に基づき、農地を効率的かつ総合的に利用していくため、南箕輪村農業委員会は次の役割を担っていく。</w:t>
      </w:r>
    </w:p>
    <w:p>
      <w:pPr>
        <w:pStyle w:val="0"/>
        <w:ind w:left="63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・日常的な農地の見守りによる農地の適正利用の確認</w:t>
      </w:r>
    </w:p>
    <w:p>
      <w:pPr>
        <w:pStyle w:val="0"/>
        <w:ind w:left="420" w:leftChars="200" w:right="-1" w:rightChars="0"/>
        <w:rPr>
          <w:rFonts w:hint="eastAsia" w:ascii="ＭＳ ゴシック" w:hAnsi="ＭＳ ゴシック" w:eastAsia="ＭＳ ゴシック"/>
          <w:sz w:val="21"/>
        </w:rPr>
      </w:pPr>
      <w:r>
        <w:rPr>
          <w:rFonts w:hint="eastAsia" w:ascii="ＭＳ ゴシック" w:hAnsi="ＭＳ ゴシック" w:eastAsia="ＭＳ ゴシック"/>
          <w:sz w:val="21"/>
        </w:rPr>
        <w:t>・農地所有者や耕作者の意向把握</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・「地域計画」で位置付けられた担い手への権利移動を誘導し、農地の利用集積・集約化を図る</w:t>
      </w:r>
    </w:p>
    <w:p>
      <w:pPr>
        <w:pStyle w:val="0"/>
        <w:ind w:left="420" w:leftChars="200" w:right="-1" w:rightChars="0" w:hanging="210" w:hangingChars="100"/>
        <w:rPr>
          <w:rFonts w:hint="eastAsia" w:ascii="ＭＳ ゴシック" w:hAnsi="ＭＳ ゴシック" w:eastAsia="ＭＳ ゴシック"/>
          <w:sz w:val="21"/>
        </w:rPr>
      </w:pPr>
      <w:r>
        <w:rPr>
          <w:rFonts w:hint="eastAsia" w:ascii="ＭＳ ゴシック" w:hAnsi="ＭＳ ゴシック" w:eastAsia="ＭＳ ゴシック"/>
          <w:sz w:val="21"/>
        </w:rPr>
        <w:t>・受け手が決まらない農地についてのマッチング活動</w:t>
      </w:r>
    </w:p>
    <w:p>
      <w:pPr>
        <w:pStyle w:val="0"/>
        <w:ind w:left="420" w:leftChars="200" w:right="-1" w:rightChars="0"/>
        <w:rPr>
          <w:rFonts w:hint="eastAsia" w:ascii="ＭＳ ゴシック" w:hAnsi="ＭＳ ゴシック" w:eastAsia="ＭＳ ゴシック"/>
          <w:sz w:val="21"/>
        </w:rPr>
      </w:pPr>
      <w:r>
        <w:rPr>
          <w:rFonts w:hint="eastAsia" w:ascii="ＭＳ ゴシック" w:hAnsi="ＭＳ ゴシック" w:eastAsia="ＭＳ ゴシック"/>
          <w:sz w:val="21"/>
        </w:rPr>
        <w:t>・農地中間管理事業の活用の働きかけ</w:t>
      </w:r>
    </w:p>
    <w:p>
      <w:pPr>
        <w:pStyle w:val="2"/>
        <w:keepNext w:val="0"/>
        <w:spacing w:before="0" w:beforeLines="0" w:beforeAutospacing="0" w:after="299" w:afterLines="0" w:afterAutospacing="0"/>
        <w:ind w:left="0" w:leftChars="0" w:right="0" w:rightChars="0" w:firstLine="420" w:firstLineChars="200"/>
        <w:jc w:val="left"/>
        <w:outlineLvl w:val="9"/>
        <w:rPr>
          <w:rFonts w:hint="eastAsia"/>
        </w:rPr>
      </w:pPr>
      <w:r>
        <w:rPr>
          <w:rFonts w:hint="eastAsia" w:ascii="ＭＳ ゴシック" w:hAnsi="ＭＳ ゴシック" w:eastAsia="ＭＳ ゴシック"/>
          <w:b w:val="0"/>
          <w:sz w:val="21"/>
        </w:rPr>
        <w:t>・「地域計画」の定期的な見直しへの協力</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5</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15:collapsed w:val="0"/>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paragraph" w:styleId="4">
    <w:name w:val="heading 4"/>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3"/>
      <w15:collapsed w:val="0"/>
    </w:pPr>
    <w:rPr>
      <w:rFonts w:ascii="Times New Roman" w:hAnsi="Times New Roman" w:eastAsia="Times New Roman"/>
      <w:b w:val="1"/>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5</Pages>
  <Words>72</Words>
  <Characters>3731</Characters>
  <Application>JUST Note</Application>
  <Lines>200</Lines>
  <Paragraphs>111</Paragraphs>
  <Company>南箕輪村役場</Company>
  <CharactersWithSpaces>3776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清水栄子</dc:creator>
  <cp:lastModifiedBy>清水栄子</cp:lastModifiedBy>
  <cp:lastPrinted>2025-09-11T01:02:38Z</cp:lastPrinted>
  <dcterms:created xsi:type="dcterms:W3CDTF">2025-09-10T04:49:00Z</dcterms:created>
  <dcterms:modified xsi:type="dcterms:W3CDTF">2025-09-11T01:02:30Z</dcterms:modified>
  <cp:revision>3</cp:revision>
</cp:coreProperties>
</file>